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color w:val="222222"/>
          <w:sz w:val="44"/>
          <w:szCs w:val="4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12"/>
          <w:sz w:val="44"/>
          <w:szCs w:val="44"/>
          <w:bdr w:val="none" w:color="auto" w:sz="0" w:space="0"/>
          <w:shd w:val="clear" w:fill="FFFFFF"/>
        </w:rPr>
        <w:t>市场监管行政处罚流程图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法定期限（一般程序）：</w:t>
      </w:r>
      <w:r>
        <w:rPr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立案之日起 90 日内作出处理决定，因案情复杂或者其他原因，不能在规定期限内作出处理 决定的，经市场监督管理部门负责人批准，可以延长 30 日。案情特别复杂或者有其他特殊情况，经延期仍不能作出处理决定的， 应当由市场监督管理部门负责人集体讨论决定是否继续延期， 决定继续延期的，应当同时确定延长的合理期限。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4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案件处理过程中，中止、听证、公告或检测、检验、检 疫、鉴定等时间不计入案件办理期限。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7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（一）简易程序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64" w:firstLineChars="20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注：（适用情形）违法事实证据确凿并且执法有法定依据，对自然人处以五十元以下、对法人或者其他组织处以一千元以下罚款或者警告的行政处罚的，可以当场作出行政处罚决定。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6448425"/>
            <wp:effectExtent l="0" t="0" r="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（二）一般程序</w:t>
      </w:r>
    </w:p>
    <w:p>
      <w:pPr>
        <w:keepNext w:val="0"/>
        <w:keepLines w:val="0"/>
        <w:widowControl/>
        <w:suppressLineNumbers w:val="0"/>
        <w:shd w:val="clear" w:fill="FFFFFF"/>
        <w:spacing w:before="264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17435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（三）听证程序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315325"/>
            <wp:effectExtent l="0" t="0" r="0" b="57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color w:val="222222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（四）专项程序:反垄断调查、处罚程序</w:t>
      </w:r>
    </w:p>
    <w:p>
      <w:pPr>
        <w:keepNext w:val="0"/>
        <w:keepLines w:val="0"/>
        <w:widowControl/>
        <w:suppressLineNumbers w:val="0"/>
        <w:shd w:val="clear" w:fill="FFFFFF"/>
        <w:spacing w:before="264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7934325"/>
            <wp:effectExtent l="0" t="0" r="0" b="57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/>
        <w:rPr>
          <w:rStyle w:val="5"/>
          <w:rFonts w:hint="default" w:ascii="Arial" w:hAnsi="Arial" w:cs="Arial"/>
          <w:i w:val="0"/>
          <w:caps w:val="0"/>
          <w:color w:val="222222"/>
          <w:spacing w:val="6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（五）专项程序: 违法实施经营者集中调查、处罚程序</w:t>
      </w:r>
    </w:p>
    <w:p>
      <w:pPr>
        <w:keepNext w:val="0"/>
        <w:keepLines w:val="0"/>
        <w:widowControl/>
        <w:suppressLineNumbers w:val="0"/>
        <w:shd w:val="clear" w:fill="FFFFFF"/>
        <w:spacing w:before="264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7932420"/>
            <wp:effectExtent l="0" t="0" r="0" b="762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/>
        <w:jc w:val="center"/>
        <w:rPr>
          <w:color w:val="222222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6"/>
          <w:sz w:val="44"/>
          <w:szCs w:val="44"/>
          <w:bdr w:val="none" w:color="auto" w:sz="0" w:space="0"/>
          <w:shd w:val="clear" w:fill="FFFFFF"/>
        </w:rPr>
        <w:t>市场监管行政强制流程图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67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（一）行政强制措施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64" w:firstLineChars="200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法定期限：30 日，特殊情况可延长，延长期限不得超过30 日，法律、行政法规另有规定的除外。</w:t>
      </w:r>
    </w:p>
    <w:p>
      <w:pPr>
        <w:keepNext w:val="0"/>
        <w:keepLines w:val="0"/>
        <w:widowControl/>
        <w:suppressLineNumbers w:val="0"/>
        <w:shd w:val="clear" w:fill="FFFFFF"/>
        <w:spacing w:before="264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  <w:lang w:val="en-US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7080250"/>
            <wp:effectExtent l="0" t="0" r="0" b="635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08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360" w:lineRule="atLeast"/>
        <w:ind w:left="0" w:right="0" w:firstLine="667" w:firstLineChars="20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6"/>
          <w:sz w:val="32"/>
          <w:szCs w:val="32"/>
          <w:bdr w:val="none" w:color="auto" w:sz="0" w:space="0"/>
          <w:shd w:val="clear" w:fill="FFFFFF"/>
        </w:rPr>
        <w:t>（二）行政强制执行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8467725"/>
            <wp:effectExtent l="0" t="0" r="0" b="571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74E8"/>
    <w:rsid w:val="778A7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2022-10-24T00:19:00Z</dcterms:created>
  <dc:creator>李明能</dc:creator>
  <cp:lastModifiedBy>李明能</cp:lastModifiedBy>
  <dcterms:modified xsi:type="dcterms:W3CDTF">2022-10-24T03:15:50Z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