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14"/>
          <w:sz w:val="44"/>
          <w:szCs w:val="44"/>
        </w:rPr>
      </w:pPr>
      <w:r>
        <w:rPr>
          <w:rFonts w:hint="eastAsia" w:eastAsia="方正小标宋简体" w:cs="Times New Roman"/>
          <w:b/>
          <w:bCs/>
          <w:sz w:val="44"/>
          <w:szCs w:val="44"/>
          <w:lang w:val="en-US" w:eastAsia="zh-CN"/>
        </w:rPr>
        <w:t>禄丰市民政局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b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/>
          <w:bCs/>
          <w:spacing w:val="14"/>
          <w:sz w:val="44"/>
          <w:szCs w:val="44"/>
        </w:rPr>
        <w:t>预算重点领域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1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pacing w:val="14"/>
          <w:sz w:val="44"/>
          <w:szCs w:val="44"/>
        </w:rPr>
        <w:t>财政项目文本公开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14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城市、农村居民最低生活保障项目资金。                            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禄丰市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/>
        </w:rPr>
        <w:t>民政局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禄丰市财政局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/>
        </w:rPr>
        <w:t>《关于提高202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/>
        </w:rPr>
        <w:t>年城乡居民最低生活保障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补助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/>
        </w:rPr>
        <w:t>标准的通知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/>
        </w:rPr>
        <w:t>》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/>
        </w:rPr>
        <w:t>禄民字【202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/>
        </w:rPr>
        <w:t>】2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/>
        </w:rPr>
        <w:t>号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禄丰市民政局。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政府针对当前</w:t>
      </w:r>
      <w:r>
        <w:rPr>
          <w:rFonts w:hint="eastAsia" w:eastAsia="方正仿宋简体" w:cs="Times New Roman"/>
          <w:kern w:val="0"/>
          <w:sz w:val="32"/>
          <w:szCs w:val="32"/>
          <w:lang w:eastAsia="zh-CN"/>
        </w:rPr>
        <w:t>家庭贫困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居民</w:t>
      </w:r>
      <w:r>
        <w:rPr>
          <w:rFonts w:hint="eastAsia" w:eastAsia="方正仿宋简体" w:cs="Times New Roman"/>
          <w:kern w:val="0"/>
          <w:sz w:val="32"/>
          <w:szCs w:val="32"/>
          <w:lang w:eastAsia="zh-CN"/>
        </w:rPr>
        <w:t>，按照户口类型，统筹发放城市居民最低生活保障金和农村居民最低生活保障金，保障其基本生活。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eastAsia="zh-CN"/>
        </w:rPr>
        <w:t>根据国家政策，坚持户保与人保相结合的原则，讲符合低保条件的困难群众全部纳入保障范围，切实加强城乡低保群众动态管理，做到应保尽保，应退尽退、应救尽救、精准施保。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已纳入一般公共预算。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eastAsia="zh-CN"/>
        </w:rPr>
        <w:t>规范城乡低保政策实施，合理确定保障标准，各乡镇部门高度重视，认真落实，广泛宣传号城乡低保、特困人员救助供养提标文件精神，使低保对象基本生活得到有效保障。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2023年城市、农村居民最低生活保障绩效目标：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目标1：低保对象人数做到应保尽保；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目标2：城乡低保标准逐年稳步提高；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目标3：低保资金社会化发放率达到90%以上；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目标4：困难群众生活水平情况要有所提升；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目标5：困难群众基本生活救助进一步完善；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目标6：向服务对象宣传政策，知晓率达到82%以上；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目标7：低保对象对低保政策实施的满意度达到85%以上。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Arial" w:cs="Times New Roman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16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NWVlYjYwNjQ2NjEwODViM2QxNGI1NzAwNDkzNGEifQ=="/>
  </w:docVars>
  <w:rsids>
    <w:rsidRoot w:val="28F91F88"/>
    <w:rsid w:val="072419AA"/>
    <w:rsid w:val="0B307E3E"/>
    <w:rsid w:val="1628790F"/>
    <w:rsid w:val="186E1B4A"/>
    <w:rsid w:val="1B6C5186"/>
    <w:rsid w:val="1ED7133F"/>
    <w:rsid w:val="28F91F88"/>
    <w:rsid w:val="2DD1616E"/>
    <w:rsid w:val="2DE74B3C"/>
    <w:rsid w:val="35073211"/>
    <w:rsid w:val="37C22DE7"/>
    <w:rsid w:val="3A9D297B"/>
    <w:rsid w:val="3CEC45C9"/>
    <w:rsid w:val="60922C70"/>
    <w:rsid w:val="65A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2</Pages>
  <Words>525</Words>
  <Characters>544</Characters>
  <Lines>0</Lines>
  <Paragraphs>0</Paragraphs>
  <TotalTime>8</TotalTime>
  <ScaleCrop>false</ScaleCrop>
  <LinksUpToDate>false</LinksUpToDate>
  <CharactersWithSpaces>617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2021-03-18T08:57:00Z</dcterms:created>
  <dc:creator>admin</dc:creator>
  <cp:lastModifiedBy>WPS_1601736013</cp:lastModifiedBy>
  <dcterms:modified xsi:type="dcterms:W3CDTF">2023-02-24T03:27:57Z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130AD3F3EA2D4D0996B209596CA430A3</vt:lpwstr>
  </property>
</Properties>
</file>